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CC441" w14:textId="77777777" w:rsidR="00F300EA" w:rsidRPr="00F300EA" w:rsidRDefault="00F300EA" w:rsidP="00F300EA">
      <w:pPr>
        <w:wordWrap w:val="0"/>
        <w:rPr>
          <w:rFonts w:ascii="Times New Roman" w:hAnsi="Times New Roman" w:cs="Times New Roman"/>
          <w:b/>
          <w:lang w:val="ru-RU"/>
        </w:rPr>
      </w:pPr>
      <w:r w:rsidRPr="00F300EA">
        <w:rPr>
          <w:rFonts w:ascii="Times New Roman" w:hAnsi="Times New Roman" w:cs="Times New Roman"/>
          <w:b/>
          <w:lang w:val="ru-RU"/>
        </w:rPr>
        <w:t xml:space="preserve">АБИШЕВА </w:t>
      </w:r>
      <w:proofErr w:type="spellStart"/>
      <w:r w:rsidRPr="00F300EA">
        <w:rPr>
          <w:rFonts w:ascii="Times New Roman" w:hAnsi="Times New Roman" w:cs="Times New Roman"/>
          <w:b/>
          <w:lang w:val="ru-RU"/>
        </w:rPr>
        <w:t>Багила</w:t>
      </w:r>
      <w:proofErr w:type="spellEnd"/>
      <w:r w:rsidRPr="00F300E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F300EA">
        <w:rPr>
          <w:rFonts w:ascii="Times New Roman" w:hAnsi="Times New Roman" w:cs="Times New Roman"/>
          <w:b/>
          <w:lang w:val="ru-RU"/>
        </w:rPr>
        <w:t>Айтуевна</w:t>
      </w:r>
      <w:proofErr w:type="spellEnd"/>
      <w:r w:rsidRPr="00F300EA">
        <w:rPr>
          <w:rFonts w:ascii="Times New Roman" w:hAnsi="Times New Roman" w:cs="Times New Roman"/>
          <w:b/>
          <w:lang w:val="ru-RU"/>
        </w:rPr>
        <w:t>,</w:t>
      </w:r>
    </w:p>
    <w:p w14:paraId="6FB1B951" w14:textId="77777777" w:rsidR="00F300EA" w:rsidRPr="00F300EA" w:rsidRDefault="00F300EA" w:rsidP="00F300EA">
      <w:pPr>
        <w:wordWrap w:val="0"/>
        <w:rPr>
          <w:rFonts w:ascii="Times New Roman" w:hAnsi="Times New Roman" w:cs="Times New Roman"/>
          <w:b/>
          <w:lang w:val="ru-RU"/>
        </w:rPr>
      </w:pPr>
      <w:bookmarkStart w:id="0" w:name="_GoBack"/>
      <w:r w:rsidRPr="00F300EA">
        <w:rPr>
          <w:rFonts w:ascii="Times New Roman" w:hAnsi="Times New Roman" w:cs="Times New Roman"/>
          <w:b/>
          <w:lang w:val="ru-RU"/>
        </w:rPr>
        <w:t xml:space="preserve">Жамбыл </w:t>
      </w:r>
      <w:proofErr w:type="spellStart"/>
      <w:r w:rsidRPr="00F300EA">
        <w:rPr>
          <w:rFonts w:ascii="Times New Roman" w:hAnsi="Times New Roman" w:cs="Times New Roman"/>
          <w:b/>
          <w:lang w:val="ru-RU"/>
        </w:rPr>
        <w:t>атындағы</w:t>
      </w:r>
      <w:proofErr w:type="spellEnd"/>
      <w:r w:rsidRPr="00F300E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F300EA">
        <w:rPr>
          <w:rFonts w:ascii="Times New Roman" w:hAnsi="Times New Roman" w:cs="Times New Roman"/>
          <w:b/>
          <w:lang w:val="ru-RU"/>
        </w:rPr>
        <w:t>жалпы</w:t>
      </w:r>
      <w:proofErr w:type="spellEnd"/>
      <w:r w:rsidRPr="00F300E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F300EA">
        <w:rPr>
          <w:rFonts w:ascii="Times New Roman" w:hAnsi="Times New Roman" w:cs="Times New Roman"/>
          <w:b/>
          <w:lang w:val="ru-RU"/>
        </w:rPr>
        <w:t>білім</w:t>
      </w:r>
      <w:proofErr w:type="spellEnd"/>
      <w:r w:rsidRPr="00F300E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F300EA">
        <w:rPr>
          <w:rFonts w:ascii="Times New Roman" w:hAnsi="Times New Roman" w:cs="Times New Roman"/>
          <w:b/>
          <w:lang w:val="ru-RU"/>
        </w:rPr>
        <w:t>беретін</w:t>
      </w:r>
      <w:proofErr w:type="spellEnd"/>
      <w:r w:rsidRPr="00F300E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F300EA">
        <w:rPr>
          <w:rFonts w:ascii="Times New Roman" w:hAnsi="Times New Roman" w:cs="Times New Roman"/>
          <w:b/>
          <w:lang w:val="ru-RU"/>
        </w:rPr>
        <w:t>мектебінің</w:t>
      </w:r>
      <w:proofErr w:type="spellEnd"/>
      <w:r w:rsidRPr="00F300E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F300EA">
        <w:rPr>
          <w:rFonts w:ascii="Times New Roman" w:hAnsi="Times New Roman" w:cs="Times New Roman"/>
          <w:b/>
          <w:lang w:val="ru-RU"/>
        </w:rPr>
        <w:t>орыс</w:t>
      </w:r>
      <w:proofErr w:type="spellEnd"/>
      <w:r w:rsidRPr="00F300E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F300EA">
        <w:rPr>
          <w:rFonts w:ascii="Times New Roman" w:hAnsi="Times New Roman" w:cs="Times New Roman"/>
          <w:b/>
          <w:lang w:val="ru-RU"/>
        </w:rPr>
        <w:t>тілі</w:t>
      </w:r>
      <w:proofErr w:type="spellEnd"/>
      <w:r w:rsidRPr="00F300EA">
        <w:rPr>
          <w:rFonts w:ascii="Times New Roman" w:hAnsi="Times New Roman" w:cs="Times New Roman"/>
          <w:b/>
          <w:lang w:val="ru-RU"/>
        </w:rPr>
        <w:t xml:space="preserve"> мен </w:t>
      </w:r>
      <w:proofErr w:type="spellStart"/>
      <w:r w:rsidRPr="00F300EA">
        <w:rPr>
          <w:rFonts w:ascii="Times New Roman" w:hAnsi="Times New Roman" w:cs="Times New Roman"/>
          <w:b/>
          <w:lang w:val="ru-RU"/>
        </w:rPr>
        <w:t>әдебиеті</w:t>
      </w:r>
      <w:proofErr w:type="spellEnd"/>
      <w:r w:rsidRPr="00F300E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proofErr w:type="gramStart"/>
      <w:r w:rsidRPr="00F300EA">
        <w:rPr>
          <w:rFonts w:ascii="Times New Roman" w:hAnsi="Times New Roman" w:cs="Times New Roman"/>
          <w:b/>
          <w:lang w:val="ru-RU"/>
        </w:rPr>
        <w:t>п</w:t>
      </w:r>
      <w:proofErr w:type="gramEnd"/>
      <w:r w:rsidRPr="00F300EA">
        <w:rPr>
          <w:rFonts w:ascii="Times New Roman" w:hAnsi="Times New Roman" w:cs="Times New Roman"/>
          <w:b/>
          <w:lang w:val="ru-RU"/>
        </w:rPr>
        <w:t>әні</w:t>
      </w:r>
      <w:proofErr w:type="spellEnd"/>
      <w:r w:rsidRPr="00F300E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F300EA">
        <w:rPr>
          <w:rFonts w:ascii="Times New Roman" w:hAnsi="Times New Roman" w:cs="Times New Roman"/>
          <w:b/>
          <w:lang w:val="ru-RU"/>
        </w:rPr>
        <w:t>мұғалімі</w:t>
      </w:r>
      <w:proofErr w:type="spellEnd"/>
      <w:r w:rsidRPr="00F300EA">
        <w:rPr>
          <w:rFonts w:ascii="Times New Roman" w:hAnsi="Times New Roman" w:cs="Times New Roman"/>
          <w:b/>
          <w:lang w:val="ru-RU"/>
        </w:rPr>
        <w:t>.</w:t>
      </w:r>
    </w:p>
    <w:p w14:paraId="101F521D" w14:textId="77777777" w:rsidR="00F300EA" w:rsidRPr="00F300EA" w:rsidRDefault="00F300EA" w:rsidP="00F300EA">
      <w:pPr>
        <w:wordWrap w:val="0"/>
        <w:rPr>
          <w:rFonts w:ascii="Times New Roman" w:hAnsi="Times New Roman" w:cs="Times New Roman"/>
          <w:b/>
          <w:lang w:val="ru-RU"/>
        </w:rPr>
      </w:pPr>
      <w:proofErr w:type="spellStart"/>
      <w:r w:rsidRPr="00F300EA">
        <w:rPr>
          <w:rFonts w:ascii="Times New Roman" w:hAnsi="Times New Roman" w:cs="Times New Roman"/>
          <w:b/>
          <w:lang w:val="ru-RU"/>
        </w:rPr>
        <w:t>Түркістан</w:t>
      </w:r>
      <w:proofErr w:type="spellEnd"/>
      <w:r w:rsidRPr="00F300E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F300EA">
        <w:rPr>
          <w:rFonts w:ascii="Times New Roman" w:hAnsi="Times New Roman" w:cs="Times New Roman"/>
          <w:b/>
          <w:lang w:val="ru-RU"/>
        </w:rPr>
        <w:t>облысы</w:t>
      </w:r>
      <w:proofErr w:type="spellEnd"/>
      <w:r w:rsidRPr="00F300EA">
        <w:rPr>
          <w:rFonts w:ascii="Times New Roman" w:hAnsi="Times New Roman" w:cs="Times New Roman"/>
          <w:b/>
          <w:lang w:val="ru-RU"/>
        </w:rPr>
        <w:t xml:space="preserve">, </w:t>
      </w:r>
      <w:proofErr w:type="spellStart"/>
      <w:r w:rsidRPr="00F300EA">
        <w:rPr>
          <w:rFonts w:ascii="Times New Roman" w:hAnsi="Times New Roman" w:cs="Times New Roman"/>
          <w:b/>
          <w:lang w:val="ru-RU"/>
        </w:rPr>
        <w:t>Қазығұрт</w:t>
      </w:r>
      <w:proofErr w:type="spellEnd"/>
      <w:r w:rsidRPr="00F300E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F300EA">
        <w:rPr>
          <w:rFonts w:ascii="Times New Roman" w:hAnsi="Times New Roman" w:cs="Times New Roman"/>
          <w:b/>
          <w:lang w:val="ru-RU"/>
        </w:rPr>
        <w:t>ауданы</w:t>
      </w:r>
      <w:proofErr w:type="spellEnd"/>
    </w:p>
    <w:bookmarkEnd w:id="0"/>
    <w:p w14:paraId="1C9DD56A" w14:textId="77777777" w:rsidR="00F300EA" w:rsidRPr="00F300EA" w:rsidRDefault="00F300EA" w:rsidP="00F300EA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0B12DA07" w14:textId="228B401D" w:rsidR="00C56774" w:rsidRPr="00F300EA" w:rsidRDefault="00F300EA" w:rsidP="00F300EA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300EA">
        <w:rPr>
          <w:rFonts w:ascii="Times New Roman" w:hAnsi="Times New Roman" w:cs="Times New Roman"/>
          <w:b/>
          <w:bCs/>
          <w:lang w:val="ru-RU"/>
        </w:rPr>
        <w:t>ЯЗЫК ХУДОЖЕСТВЕННОЙ ЛИТЕРАТУРЫ КАК СПЕЦИФИЧЕСКАЯ ЗНАКОВАЯ СИСТЕМА И ОБЪЕКТ ЛИНГВИСТИЧЕСКОГО АНАЛИЗА</w:t>
      </w:r>
    </w:p>
    <w:p w14:paraId="6E1103CB" w14:textId="77777777" w:rsidR="00F300EA" w:rsidRPr="00F300EA" w:rsidRDefault="00F300EA" w:rsidP="00F300EA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263579F1" w14:textId="77777777" w:rsidR="00C56774" w:rsidRPr="00F300EA" w:rsidRDefault="0061517D" w:rsidP="00F300EA">
      <w:pPr>
        <w:ind w:firstLineChars="300" w:firstLine="600"/>
        <w:jc w:val="both"/>
        <w:rPr>
          <w:rFonts w:ascii="Times New Roman" w:hAnsi="Times New Roman" w:cs="Times New Roman"/>
          <w:lang w:val="ru-RU"/>
        </w:rPr>
      </w:pPr>
      <w:r w:rsidRPr="00F300EA">
        <w:rPr>
          <w:rFonts w:ascii="Times New Roman" w:hAnsi="Times New Roman" w:cs="Times New Roman"/>
          <w:lang w:val="ru-RU"/>
        </w:rPr>
        <w:t xml:space="preserve">Язык художественной литературы представляет собой сложную эстетическую систему, где ключевым инструментом создания художественной реальности выступает система тропов. В отличие от прямой номинации, характерной для научной или деловой речи, художественный текст опирается на переносные значения, среди которых центральное место занимают метафора и сравнение. Эти стилистические фигуры не просто украшают повествование, но служат мощным когнитивным механизмом, позволяющим автору </w:t>
      </w:r>
      <w:proofErr w:type="spellStart"/>
      <w:r w:rsidRPr="00F300EA">
        <w:rPr>
          <w:rFonts w:ascii="Times New Roman" w:hAnsi="Times New Roman" w:cs="Times New Roman"/>
          <w:lang w:val="ru-RU"/>
        </w:rPr>
        <w:t>вербализовать</w:t>
      </w:r>
      <w:proofErr w:type="spellEnd"/>
      <w:r w:rsidRPr="00F300EA">
        <w:rPr>
          <w:rFonts w:ascii="Times New Roman" w:hAnsi="Times New Roman" w:cs="Times New Roman"/>
          <w:lang w:val="ru-RU"/>
        </w:rPr>
        <w:t xml:space="preserve"> невидимые связи между объектами и явлениями. Через метафоризацию происходит семантическая трансформация слова: оно утрачивает свою бытовую однозначность и обретает эстетическую многослойность, заставляя читателя включать интуитивное мышление для расшифровки авторского замысла.</w:t>
      </w:r>
    </w:p>
    <w:p w14:paraId="250D8080" w14:textId="19DBD85D" w:rsidR="00C56774" w:rsidRPr="00F300EA" w:rsidRDefault="0061517D" w:rsidP="00F300EA">
      <w:pPr>
        <w:ind w:firstLineChars="300" w:firstLine="600"/>
        <w:jc w:val="both"/>
        <w:rPr>
          <w:rFonts w:ascii="Times New Roman" w:hAnsi="Times New Roman" w:cs="Times New Roman"/>
          <w:lang w:val="ru-RU"/>
        </w:rPr>
      </w:pPr>
      <w:r w:rsidRPr="00F300EA">
        <w:rPr>
          <w:rFonts w:ascii="Times New Roman" w:hAnsi="Times New Roman" w:cs="Times New Roman"/>
          <w:lang w:val="ru-RU"/>
        </w:rPr>
        <w:t>Сравнение в художественном дискурсе выступает как базисный элемент образного мышления, устанавливающий ассоциативные мосты между различными пластами бытия. В руках мастера слова сравнение и метафора становятся инструментами «</w:t>
      </w:r>
      <w:proofErr w:type="spellStart"/>
      <w:r w:rsidRPr="00F300EA">
        <w:rPr>
          <w:rFonts w:ascii="Times New Roman" w:hAnsi="Times New Roman" w:cs="Times New Roman"/>
          <w:lang w:val="ru-RU"/>
        </w:rPr>
        <w:t>остранения</w:t>
      </w:r>
      <w:proofErr w:type="spellEnd"/>
      <w:r w:rsidRPr="00F300EA">
        <w:rPr>
          <w:rFonts w:ascii="Times New Roman" w:hAnsi="Times New Roman" w:cs="Times New Roman"/>
          <w:lang w:val="ru-RU"/>
        </w:rPr>
        <w:t xml:space="preserve">», когда привычный предмет, помещенный в новый лингвистический контекст, раскрывается с неожиданной стороны. Этот процесс </w:t>
      </w:r>
      <w:proofErr w:type="spellStart"/>
      <w:r w:rsidRPr="00F300EA">
        <w:rPr>
          <w:rFonts w:ascii="Times New Roman" w:hAnsi="Times New Roman" w:cs="Times New Roman"/>
          <w:lang w:val="ru-RU"/>
        </w:rPr>
        <w:t>деавтоматизации</w:t>
      </w:r>
      <w:proofErr w:type="spellEnd"/>
      <w:r w:rsidRPr="00F300EA">
        <w:rPr>
          <w:rFonts w:ascii="Times New Roman" w:hAnsi="Times New Roman" w:cs="Times New Roman"/>
          <w:lang w:val="ru-RU"/>
        </w:rPr>
        <w:t xml:space="preserve"> восприятия превращает чтение в акт сотворчества, где через систему тропов транслируется индивидуально-авторская картина мира. Таким образом, экспрессивный потенциал художественного языка реализуется именно в тот момент, когда прямое называние уступает место ассоциативному замещению, создавая глубокий подтекст и обеспечивая тексту статус произведения искусства.</w:t>
      </w:r>
    </w:p>
    <w:p w14:paraId="0E499FE9" w14:textId="77777777" w:rsidR="00C56774" w:rsidRPr="00F300EA" w:rsidRDefault="0061517D" w:rsidP="00F300EA">
      <w:pPr>
        <w:jc w:val="both"/>
        <w:rPr>
          <w:rFonts w:ascii="Times New Roman" w:hAnsi="Times New Roman" w:cs="Times New Roman"/>
          <w:lang w:val="ru-RU"/>
        </w:rPr>
      </w:pPr>
      <w:proofErr w:type="gramStart"/>
      <w:r w:rsidRPr="00F300EA">
        <w:rPr>
          <w:rFonts w:ascii="Times New Roman" w:hAnsi="Times New Roman" w:cs="Times New Roman"/>
          <w:lang w:val="ru-RU"/>
        </w:rPr>
        <w:t>л</w:t>
      </w:r>
      <w:proofErr w:type="gramEnd"/>
      <w:r w:rsidRPr="00F300EA">
        <w:rPr>
          <w:rFonts w:ascii="Times New Roman" w:hAnsi="Times New Roman" w:cs="Times New Roman"/>
          <w:lang w:val="ru-RU"/>
        </w:rPr>
        <w:t>я наглядности стоит рассмотреть, как именно эти инструменты работают в ткани произведения. Метафора в классической литературе часто выступает как сжатое сравнение, которое не просто указывает на сходство, а полностью отождествляет два разных понятия. Например, когда поэт говорит о «костре рябины красной», он не просто описывает цвет ягод, а создает динамичный, эмоционально насыщенный образ увядания и внутренней боли. В этом случае троп становится мостом между природным явлением и душевным состоянием человека, позволяя передать тончайшие нюансы чувств, для которых в обычном языке не хватает прямых определений.</w:t>
      </w:r>
    </w:p>
    <w:p w14:paraId="32E6659D" w14:textId="3A88AD4A" w:rsidR="00C56774" w:rsidRPr="00F300EA" w:rsidRDefault="0061517D" w:rsidP="00F300EA">
      <w:pPr>
        <w:ind w:firstLineChars="250" w:firstLine="500"/>
        <w:jc w:val="both"/>
        <w:rPr>
          <w:rFonts w:ascii="Times New Roman" w:hAnsi="Times New Roman" w:cs="Times New Roman"/>
          <w:lang w:val="ru-RU"/>
        </w:rPr>
      </w:pPr>
      <w:r w:rsidRPr="00F300EA">
        <w:rPr>
          <w:rFonts w:ascii="Times New Roman" w:hAnsi="Times New Roman" w:cs="Times New Roman"/>
          <w:lang w:val="ru-RU"/>
        </w:rPr>
        <w:t xml:space="preserve">Сравнение же действует </w:t>
      </w:r>
      <w:proofErr w:type="gramStart"/>
      <w:r w:rsidRPr="00F300EA">
        <w:rPr>
          <w:rFonts w:ascii="Times New Roman" w:hAnsi="Times New Roman" w:cs="Times New Roman"/>
          <w:lang w:val="ru-RU"/>
        </w:rPr>
        <w:t>более аналитически</w:t>
      </w:r>
      <w:proofErr w:type="gramEnd"/>
      <w:r w:rsidRPr="00F300EA">
        <w:rPr>
          <w:rFonts w:ascii="Times New Roman" w:hAnsi="Times New Roman" w:cs="Times New Roman"/>
          <w:lang w:val="ru-RU"/>
        </w:rPr>
        <w:t xml:space="preserve">, сохраняя дистанцию между объектами и заставляя читателя сопоставлять их качества. Мастера слова часто используют развернутые сравнения, чтобы придать описанию пластичность и объем. Если метафора — это вспышка, мгновенно меняющая смысл слова, то сравнение — это планомерное исследование образа. Вместе они формируют </w:t>
      </w:r>
      <w:proofErr w:type="spellStart"/>
      <w:r w:rsidRPr="00F300EA">
        <w:rPr>
          <w:rFonts w:ascii="Times New Roman" w:hAnsi="Times New Roman" w:cs="Times New Roman"/>
          <w:lang w:val="ru-RU"/>
        </w:rPr>
        <w:t>идиостиль</w:t>
      </w:r>
      <w:proofErr w:type="spellEnd"/>
      <w:r w:rsidRPr="00F300EA">
        <w:rPr>
          <w:rFonts w:ascii="Times New Roman" w:hAnsi="Times New Roman" w:cs="Times New Roman"/>
          <w:lang w:val="ru-RU"/>
        </w:rPr>
        <w:t xml:space="preserve"> автора, делая его язык узнаваемым и уникальным. Именно благодаря тропам художественный текст обретает ту «плотность» и многозначность, которая позволяет литературе оставаться актуальной вне времени, каждый раз предлагая читателю новые уровни интерпретации.</w:t>
      </w:r>
    </w:p>
    <w:sectPr w:rsidR="00C56774" w:rsidRPr="00F300E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74"/>
    <w:rsid w:val="0061517D"/>
    <w:rsid w:val="00C56774"/>
    <w:rsid w:val="00F300EA"/>
    <w:rsid w:val="1EC0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2026-01-30T10:38:00Z</dcterms:created>
  <dcterms:modified xsi:type="dcterms:W3CDTF">2026-01-30T19:44:00Z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96EAA3316187459D9BD1B9D892D982C0_12</vt:lpwstr>
  </property>
</Properties>
</file>